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4EA" w:rsidRPr="00AA735C" w:rsidRDefault="000654EA" w:rsidP="000654EA">
      <w:pPr>
        <w:pStyle w:val="Pouczenienagwek"/>
        <w:spacing w:after="0"/>
        <w:rPr>
          <w:rFonts w:eastAsia="Arial Unicode MS" w:cs="Times New Roman"/>
          <w:bCs/>
          <w:sz w:val="18"/>
          <w:szCs w:val="18"/>
        </w:rPr>
      </w:pPr>
      <w:bookmarkStart w:id="0" w:name="_GoBack"/>
      <w:bookmarkEnd w:id="0"/>
      <w:r w:rsidRPr="00AA735C">
        <w:rPr>
          <w:rFonts w:eastAsia="Arial Unicode MS" w:cs="Times New Roman"/>
          <w:bCs/>
          <w:sz w:val="18"/>
          <w:szCs w:val="18"/>
        </w:rPr>
        <w:t>POUCZENIE O UPRAWNIENIACH I OBOWIĄZKACH POKRZYWDZONEGOW POSTĘPOWANIU KARNYM</w:t>
      </w:r>
    </w:p>
    <w:p w:rsidR="000654EA" w:rsidRPr="001F4DBD" w:rsidRDefault="000654EA" w:rsidP="000654EA">
      <w:pPr>
        <w:pStyle w:val="Pouczenienagwek"/>
        <w:spacing w:after="0"/>
        <w:rPr>
          <w:rFonts w:cs="Times New Roman"/>
          <w:sz w:val="24"/>
          <w:szCs w:val="24"/>
        </w:rPr>
      </w:pP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Osoba fizyczna lub prawna, której dobro zostało bezpośrednio naruszone lub zagrożone przez przestępstwo, jest pokrzywdzonym w postępowaniu karnym (art. 49 § 1)</w:t>
      </w:r>
      <w:r w:rsidRPr="00F6125C">
        <w:rPr>
          <w:rStyle w:val="Odwoanieprzypisudolnego"/>
          <w:rFonts w:eastAsia="Arial Unicode MS"/>
          <w:sz w:val="16"/>
          <w:szCs w:val="16"/>
        </w:rPr>
        <w:footnoteReference w:id="1"/>
      </w:r>
      <w:r w:rsidRPr="00F6125C">
        <w:rPr>
          <w:rFonts w:eastAsia="Arial Unicode MS"/>
          <w:sz w:val="16"/>
          <w:szCs w:val="16"/>
        </w:rPr>
        <w:t>. Przedstawiciel lub opiekun pokrzywdzonego małoletniego, całkowicie albo częściowo ubezwłasnowolnionego lub nieporadnego może wykonywać jego prawa (art. 51). Osoba najbliższa lub pozostająca na utrzymaniu zmarłego pokrzywdzonego może wykonywać jego prawa (art. 52). W postępowaniu przygotowawczym poprzedzającym wniesienie sprawy do sądu pokrzywdzony jest stroną procesową (art. 299 § 1). W postępowaniu sądowym może być stroną (oskarżycielem posiłkowym), jeżeli tego zażąda do czasu rozpoczęcia przewodu sądowego (art. 53 i art. 54 § 1). W związku z tym pokrzywdzonemu przysługują wymienione poniżej uprawnienia:</w:t>
      </w:r>
    </w:p>
    <w:p w:rsidR="00C71C5A" w:rsidRPr="00F6125C" w:rsidRDefault="000654EA" w:rsidP="00C71C5A">
      <w:pPr>
        <w:autoSpaceDE w:val="0"/>
        <w:autoSpaceDN w:val="0"/>
        <w:adjustRightInd w:val="0"/>
        <w:jc w:val="both"/>
        <w:rPr>
          <w:spacing w:val="4"/>
          <w:sz w:val="16"/>
          <w:szCs w:val="16"/>
        </w:rPr>
      </w:pPr>
      <w:r w:rsidRPr="00F6125C">
        <w:rPr>
          <w:rFonts w:eastAsia="Arial Unicode MS"/>
          <w:sz w:val="16"/>
          <w:szCs w:val="16"/>
        </w:rPr>
        <w:t>1. Prawo do korzystania z pomocy wybranego przez siebie pełnomocnika, którym może być adwokat lub radca prawny</w:t>
      </w:r>
      <w:r w:rsidR="0056581B" w:rsidRPr="00F6125C">
        <w:rPr>
          <w:rFonts w:eastAsia="Arial Unicode MS"/>
          <w:sz w:val="16"/>
          <w:szCs w:val="16"/>
        </w:rPr>
        <w:t xml:space="preserve"> </w:t>
      </w:r>
      <w:r w:rsidR="0056581B" w:rsidRPr="00F6125C">
        <w:rPr>
          <w:sz w:val="16"/>
          <w:szCs w:val="16"/>
        </w:rPr>
        <w:t>lub radca Prokuratorii Generalnej Rzeczypospolitej Polskiej</w:t>
      </w:r>
      <w:r w:rsidRPr="00F6125C">
        <w:rPr>
          <w:rFonts w:eastAsia="Arial Unicode MS"/>
          <w:sz w:val="16"/>
          <w:szCs w:val="16"/>
        </w:rPr>
        <w:t xml:space="preserve">. Nie można mieć więcej niż trzech pełnomocników jednocześnie. W zależności od wyniku procesu kosztami wynajęcia pełnomocnika może zostać obciążony oskarżony (art. 627–629). </w:t>
      </w:r>
      <w:r w:rsidR="00C71C5A" w:rsidRPr="00F6125C">
        <w:rPr>
          <w:rFonts w:eastAsia="Arial Unicode MS"/>
          <w:sz w:val="16"/>
          <w:szCs w:val="16"/>
        </w:rPr>
        <w:t>Pokrzywdzony, pokrzywdzona, który / która</w:t>
      </w:r>
      <w:r w:rsidRPr="00F6125C">
        <w:rPr>
          <w:rFonts w:eastAsia="Arial Unicode MS"/>
          <w:sz w:val="16"/>
          <w:szCs w:val="16"/>
        </w:rPr>
        <w:t xml:space="preserve"> </w:t>
      </w:r>
      <w:r w:rsidR="00C71C5A" w:rsidRPr="00F6125C">
        <w:rPr>
          <w:sz w:val="16"/>
          <w:szCs w:val="16"/>
        </w:rPr>
        <w:t xml:space="preserve">nie ma pełnomocnika z wyboru, może żądać, aby mu / jej wyznaczono </w:t>
      </w:r>
      <w:r w:rsidR="0056581B" w:rsidRPr="00F6125C">
        <w:rPr>
          <w:sz w:val="16"/>
          <w:szCs w:val="16"/>
        </w:rPr>
        <w:t>pełnomocnika</w:t>
      </w:r>
      <w:r w:rsidR="00C71C5A" w:rsidRPr="00F6125C">
        <w:rPr>
          <w:sz w:val="16"/>
          <w:szCs w:val="16"/>
        </w:rPr>
        <w:t xml:space="preserve"> z urzędu, jeżeli w sposób należyty wykaże, że nie jest w stanie ponieść kosztów </w:t>
      </w:r>
      <w:r w:rsidR="0056581B" w:rsidRPr="00F6125C">
        <w:rPr>
          <w:sz w:val="16"/>
          <w:szCs w:val="16"/>
        </w:rPr>
        <w:t>pełnomocnika</w:t>
      </w:r>
      <w:r w:rsidR="00C71C5A" w:rsidRPr="00F6125C">
        <w:rPr>
          <w:sz w:val="16"/>
          <w:szCs w:val="16"/>
        </w:rPr>
        <w:t xml:space="preserve"> bez uszczerbku dla niezbędnego utrzymania siebie i rodziny. Podstawą odmowy wyznaczenia </w:t>
      </w:r>
      <w:r w:rsidR="0056581B" w:rsidRPr="00F6125C">
        <w:rPr>
          <w:sz w:val="16"/>
          <w:szCs w:val="16"/>
        </w:rPr>
        <w:t>pełnomocnika</w:t>
      </w:r>
      <w:r w:rsidR="00C71C5A" w:rsidRPr="00F6125C">
        <w:rPr>
          <w:sz w:val="16"/>
          <w:szCs w:val="16"/>
        </w:rPr>
        <w:t xml:space="preserve"> z urzędu nie może być skorzystanie przez pokrzywdzonego / pokrzywdzoną z nieodpłatnej pomocy prawnej lub nieodpłatnego poradnictwa obywatelskiego, o których mowa w ustawy z dnia 5 sierpnia 2015 r. o nieodpłatnej pomocy prawnej, nieodpłatnym poradnictwie obywatelskim oraz edukacji prawnej (Dz. U. z 2017 r. poz. 2030 oraz z 2018 r. poz. 1467 (art. 78 § 1, art. </w:t>
      </w:r>
      <w:r w:rsidR="0056581B" w:rsidRPr="00F6125C">
        <w:rPr>
          <w:sz w:val="16"/>
          <w:szCs w:val="16"/>
        </w:rPr>
        <w:t>88 § 1</w:t>
      </w:r>
      <w:r w:rsidR="00C71C5A" w:rsidRPr="00F6125C">
        <w:rPr>
          <w:sz w:val="16"/>
          <w:szCs w:val="16"/>
        </w:rPr>
        <w:t>).</w:t>
      </w:r>
      <w:r w:rsidR="00C71C5A" w:rsidRPr="00F6125C">
        <w:rPr>
          <w:rStyle w:val="txt-old1"/>
          <w:spacing w:val="4"/>
          <w:sz w:val="16"/>
          <w:szCs w:val="16"/>
        </w:rPr>
        <w:t xml:space="preserve"> **</w:t>
      </w:r>
      <w:r w:rsidR="00C71C5A" w:rsidRPr="00F6125C">
        <w:rPr>
          <w:rStyle w:val="txt-old1"/>
          <w:vanish w:val="0"/>
          <w:spacing w:val="4"/>
          <w:sz w:val="16"/>
          <w:szCs w:val="16"/>
        </w:rPr>
        <w:t xml:space="preserve"> </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2. Prawo do bezpłatnej pomocy tłumacza, przy przesłuchaniu lub zapoznaniu z treścią dowodu, jeżeli pokrzywdzony nie mówi po polsku, a także – w razie potrzeby – jeżeli jest on głuchy lub niemy (art. 204 § 1 i § 2).</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3. Prawo do złożenia zażalenia na postanowienie o odmowie wszczęcia lub umorzeniu śledztwa lub dochodzenia oraz zażalenia na bezczynność, jeżeli w ciągu 6 tygodni od złożenia przez pokrzywdzonego zawiadomienia o przestępstwie nie został on powiadomiony o wszczęciu albo odmowie wszczęcia śledztwa lub dochodzenia (art. 306 § 1, § 1a i § 3, art. 325a § 2).</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4. Prawo do składania wniosków o dokonanie czynności śledztwa lub dochodzenia, np. o przesłuchanie świadka, uzyskanie dokumentu, dopuszczenie opinii biegłego (art. 315 § 1,art. 325a § 2). Jeżeli istnieje obawa, że świadka nie będzie można przesłuchać na rozprawie, pokrzywdzony może wystąpić o jego przesłuchanie przez sąd lub zwrócić się do prokuratora o przesłuchanie świadka w tym trybie (art. 316 § 3)</w:t>
      </w:r>
      <w:r w:rsidR="00AA735C" w:rsidRPr="00F6125C">
        <w:rPr>
          <w:rFonts w:eastAsia="Arial Unicode MS"/>
          <w:sz w:val="16"/>
          <w:szCs w:val="16"/>
        </w:rPr>
        <w:t>.</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5. Prawo do udziału w czynnościach postępowania przeprowadzanych na wniosek pokrzywdzonego oraz</w:t>
      </w:r>
      <w:r w:rsidR="00AA735C" w:rsidRPr="00F6125C">
        <w:rPr>
          <w:rFonts w:eastAsia="Arial Unicode MS"/>
          <w:sz w:val="16"/>
          <w:szCs w:val="16"/>
        </w:rPr>
        <w:t xml:space="preserve"> </w:t>
      </w:r>
      <w:r w:rsidRPr="00F6125C">
        <w:rPr>
          <w:rFonts w:eastAsia="Arial Unicode MS"/>
          <w:sz w:val="16"/>
          <w:szCs w:val="16"/>
        </w:rPr>
        <w:t>w czynnościach, których nie można powtórzyć na rozprawie, w tym także w przeprowadzeniu dowodu. W czynnościach tych może również uczestniczyć pełnomocnik pokrzywdzonego (art. 315 i art. 316). W szczególnie uzasadnionym wypadku można odmówić dopuszczenia pokrzywdzonego i pełnomocnika do czynności ze względu na dobro postępowania (art. 317 § 2). Pokrzywdzonemu przysługuje zwrot kosztów stawiennictwa na wezwanie (art. 618a–618e i art. 618j). W wypadku wezwania do osobistego stawiennictwa, usprawiedliwienie nieobecności z powodu choroby jest możliwe wyłącznie po przedstawieniu zaświadczenia wystawionego przez lekarza sądowego. Inne zwolnienie jest niewystarczające (art. 117 § 2a).</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6. Prawo do udziału w przesłuchaniu biegłego oraz prawo do zapoznania się z jego pisemną opinią (art. 318).</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7. Prawo dostępu do akt sprawy, do sporządzania odpisów i kopii. Można odmówić dostępu do akt ze względu na ważny interes państwa lub dobro postępowania (art. 156 § 5).</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8. Prawo do złożenia wniosku o zapoznanie się z materiałami śledztwa lub dochodzenia przed jego zakończeniem. W trakcie tych czynności pokrzywdzonemu może towarzyszyć pełnomocnik (art. 321 § 1 i § 3, art. 325a § 2).</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9. Prawo do złożenia wniosku o skierowanie sprawy do postępowania mediacyjnego w celu pogodzenia się</w:t>
      </w:r>
      <w:r w:rsidR="00AA735C" w:rsidRPr="00F6125C">
        <w:rPr>
          <w:rFonts w:eastAsia="Arial Unicode MS"/>
          <w:sz w:val="16"/>
          <w:szCs w:val="16"/>
        </w:rPr>
        <w:t xml:space="preserve"> </w:t>
      </w:r>
      <w:r w:rsidRPr="00F6125C">
        <w:rPr>
          <w:rFonts w:eastAsia="Arial Unicode MS"/>
          <w:sz w:val="16"/>
          <w:szCs w:val="16"/>
        </w:rPr>
        <w:t xml:space="preserve">z podejrzanym (art. 23a). Udział w postępowaniu mediacyjnym jest dobrowolny. Pozytywne wyniki przeprowadzonej mediacji są brane pod uwagę przez sąd przy wymiarze kary (art. 53 § 3 ustawy z dnia 6 czerwca 1997 r. – Kodeks karny, Dz. U. Nr 88, poz. 553, z </w:t>
      </w:r>
      <w:proofErr w:type="spellStart"/>
      <w:r w:rsidRPr="00F6125C">
        <w:rPr>
          <w:rFonts w:eastAsia="Arial Unicode MS"/>
          <w:sz w:val="16"/>
          <w:szCs w:val="16"/>
        </w:rPr>
        <w:t>późn</w:t>
      </w:r>
      <w:proofErr w:type="spellEnd"/>
      <w:r w:rsidRPr="00F6125C">
        <w:rPr>
          <w:rFonts w:eastAsia="Arial Unicode MS"/>
          <w:sz w:val="16"/>
          <w:szCs w:val="16"/>
        </w:rPr>
        <w:t>. zm.).</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10. Prawo do złożenia wniosku o naprawienie szkody lub zadośćuczynienie wyrządzonej krzywdzie aż do zamknięcia przewodu sądowego (art. 49a).</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11. Prawo do złożenia wniosku o umorzenie postępowania karnego o przestępstwo zagrożone karą nie wyższą niż 3 lata pozbawienia wolności, o przestępstwo przeciwko mieniu zagrożone karą nie wyższą niż 5 lat pozbawienia wolności oraz o opisane w art. 157 § 1 Kodeksu karnego uszkodzenie ciała inne niż ciężkie, jeżeli sprawca, który nie był wcześniej skazany za przestępstwo umyślne z użyciem przemocy, przed rozprawą naprawił szkodę lub zadośćuczynił wyrządzonej krzywdzie (art. 59a Kodeksu karnego).</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12. Prawo do otrzymania informacji o uchyleniu tymczasowego aresztowania stosowanego wobec podejrzanego lub o jego ucieczce z aresztu śledczego (art. 253 § 3).</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13. Prawo do złożenia zażalenia na każdą czynność naruszającą prawa pokrzywdzonego (art. 302 § 2, art. 459).</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 xml:space="preserve">14. Pokrzywdzony będący obywatelem polskim lub obywatelem innego państwa członkowskiego Unii Europejskiej może się ubiegać o państwową kompensatę na zasadach określonych w ustawie z dnia 7 lipca 2005 r. o państwowej kompensacie przysługującej ofiarom niektórych przestępstw (Dz. U. Nr 169, poz. 1415, z </w:t>
      </w:r>
      <w:proofErr w:type="spellStart"/>
      <w:r w:rsidRPr="00F6125C">
        <w:rPr>
          <w:rFonts w:eastAsia="Arial Unicode MS"/>
          <w:sz w:val="16"/>
          <w:szCs w:val="16"/>
        </w:rPr>
        <w:t>późn</w:t>
      </w:r>
      <w:proofErr w:type="spellEnd"/>
      <w:r w:rsidRPr="00F6125C">
        <w:rPr>
          <w:rFonts w:eastAsia="Arial Unicode MS"/>
          <w:sz w:val="16"/>
          <w:szCs w:val="16"/>
        </w:rPr>
        <w:t>. zm.).</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 xml:space="preserve">15. Adres miejsca zamieszkania i adres pracy pokrzywdzonego </w:t>
      </w:r>
      <w:r w:rsidR="006D0FF8" w:rsidRPr="00F6125C">
        <w:rPr>
          <w:rFonts w:eastAsia="Arial Unicode MS"/>
          <w:sz w:val="16"/>
          <w:szCs w:val="16"/>
        </w:rPr>
        <w:t xml:space="preserve">co do zasady </w:t>
      </w:r>
      <w:r w:rsidRPr="00F6125C">
        <w:rPr>
          <w:rFonts w:eastAsia="Arial Unicode MS"/>
          <w:sz w:val="16"/>
          <w:szCs w:val="16"/>
        </w:rPr>
        <w:t xml:space="preserve">nie są ujawniane w aktach sprawy. Można je ujawnić </w:t>
      </w:r>
      <w:r w:rsidR="006D0FF8" w:rsidRPr="00F6125C">
        <w:rPr>
          <w:rFonts w:eastAsia="Arial Unicode MS"/>
          <w:sz w:val="16"/>
          <w:szCs w:val="16"/>
        </w:rPr>
        <w:t xml:space="preserve">w określonych sytuacjach </w:t>
      </w:r>
      <w:r w:rsidRPr="00F6125C">
        <w:rPr>
          <w:rFonts w:eastAsia="Arial Unicode MS"/>
          <w:sz w:val="16"/>
          <w:szCs w:val="16"/>
        </w:rPr>
        <w:t xml:space="preserve">(art. </w:t>
      </w:r>
      <w:r w:rsidR="006D0FF8" w:rsidRPr="00F6125C">
        <w:rPr>
          <w:rFonts w:eastAsia="Arial Unicode MS"/>
          <w:sz w:val="16"/>
          <w:szCs w:val="16"/>
        </w:rPr>
        <w:t>148a</w:t>
      </w:r>
      <w:r w:rsidRPr="00F6125C">
        <w:rPr>
          <w:rFonts w:eastAsia="Arial Unicode MS"/>
          <w:sz w:val="16"/>
          <w:szCs w:val="16"/>
        </w:rPr>
        <w:t xml:space="preserve"> § </w:t>
      </w:r>
      <w:r w:rsidR="00AA735C" w:rsidRPr="00F6125C">
        <w:rPr>
          <w:rFonts w:eastAsia="Arial Unicode MS"/>
          <w:sz w:val="16"/>
          <w:szCs w:val="16"/>
        </w:rPr>
        <w:t>2</w:t>
      </w:r>
      <w:r w:rsidRPr="00F6125C">
        <w:rPr>
          <w:rFonts w:eastAsia="Arial Unicode MS"/>
          <w:sz w:val="16"/>
          <w:szCs w:val="16"/>
        </w:rPr>
        <w:t>).</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16. W razie zagrożenia dla życia lub zdrowia pokrzywdzonego lub jego najbliższych, mogą oni otrzymać ochronę Policji na czas czynności procesowej, a jeżeli stopień zagrożenia jest wysoki, mogą oni otrzymać ochronę osobistą lub pomoc w zakresie zmiany miejsca pobytu. Wniosek o udzielenie ochrony kieruje się do komendanta wojewódzkiego Policji za pośrednictwem organu prowadzącego postępowanie albo sądu (art. 1–17 ustawy z dnia 28 listopada 2014 r. o ochronie i pomocy dla pokrzywdzonego i świadka, Dz. U. z 2015 r. poz. 21).</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 xml:space="preserve">17. Pokrzywdzony i jego najbliżsi mogą otrzymać pomoc medyczną, psychologiczną, rehabilitacyjną, prawną oraz materialną w Sieci Pomocy dla Osób Pokrzywdzonych Przestępstwem (art. 43 § 8 pkt 1 ustawy z dnia 6 czerwca 1997 r. – Kodeks karny wykonawczy, Dz. U. Nr 90, poz. 557, z </w:t>
      </w:r>
      <w:proofErr w:type="spellStart"/>
      <w:r w:rsidRPr="00F6125C">
        <w:rPr>
          <w:rFonts w:eastAsia="Arial Unicode MS"/>
          <w:sz w:val="16"/>
          <w:szCs w:val="16"/>
        </w:rPr>
        <w:t>późn</w:t>
      </w:r>
      <w:proofErr w:type="spellEnd"/>
      <w:r w:rsidRPr="00F6125C">
        <w:rPr>
          <w:rFonts w:eastAsia="Arial Unicode MS"/>
          <w:sz w:val="16"/>
          <w:szCs w:val="16"/>
        </w:rPr>
        <w:t>. zm.).</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18. Jeżeli sprawcy zakazano zbliżania się lub kontaktowania się z pokrzywdzonym, zakaz ten, na wniosek pokrzywdzonego, może być wykonywany także w innym państwie członkowskim Unii Europejskiej na podstawie europejskiego nakazu ochrony (art. 611w–611wc).</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Pokrzywdzony jest obowiązany:</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1) wskazać adres dla doręczeń w kraju, kiedy przebywa za granicą; w przeciwnym wypadku pismo wysłane na ostatnio znany adres w kraju zostanie uznane za skutecznie doręczone, a czynność lub rozprawa zostanie przeprowadzona pod nieobecność pokrzywdzonego; niewskazanie adresu może również uniemożliwić złożenie wniosku, zażalenia lub apelacji z powodu upływu terminów (art. 138);</w:t>
      </w:r>
    </w:p>
    <w:p w:rsidR="000654EA" w:rsidRPr="00F6125C" w:rsidRDefault="000654EA" w:rsidP="000654EA">
      <w:pPr>
        <w:autoSpaceDE w:val="0"/>
        <w:autoSpaceDN w:val="0"/>
        <w:adjustRightInd w:val="0"/>
        <w:jc w:val="both"/>
        <w:rPr>
          <w:rFonts w:eastAsia="Arial Unicode MS"/>
          <w:sz w:val="16"/>
          <w:szCs w:val="16"/>
        </w:rPr>
      </w:pPr>
      <w:r w:rsidRPr="00F6125C">
        <w:rPr>
          <w:rFonts w:eastAsia="Arial Unicode MS"/>
          <w:sz w:val="16"/>
          <w:szCs w:val="16"/>
        </w:rPr>
        <w:t>2) podać nowy adres w wypadku zmiany miejsca zamieszkania lub pobytu, w tym także z powodu pozbawienia wolności w innej sprawie; w przeciwnym wypadku pismo wysłane na dotychczasowy adres zostanie uznane za skutecznie doręczone, a czynność lub rozprawa zostanie przeprowadzona pod nieobecność pokrzywdzonego; niewskazanie adresu może również uniemożliwić złożenie wniosku, zażalenia lub apelacji z powodu upływu terminów (art. 139).</w:t>
      </w:r>
    </w:p>
    <w:p w:rsidR="00AA735C" w:rsidRPr="00F6125C" w:rsidRDefault="00AA735C" w:rsidP="000654EA">
      <w:pPr>
        <w:autoSpaceDE w:val="0"/>
        <w:autoSpaceDN w:val="0"/>
        <w:adjustRightInd w:val="0"/>
        <w:jc w:val="both"/>
        <w:rPr>
          <w:rFonts w:eastAsia="Arial Unicode MS"/>
          <w:sz w:val="16"/>
          <w:szCs w:val="16"/>
        </w:rPr>
      </w:pPr>
      <w:r w:rsidRPr="00F6125C">
        <w:rPr>
          <w:rFonts w:eastAsia="Arial Unicode MS"/>
          <w:sz w:val="16"/>
          <w:szCs w:val="16"/>
        </w:rPr>
        <w:t xml:space="preserve">19. </w:t>
      </w:r>
      <w:r w:rsidRPr="00F6125C">
        <w:rPr>
          <w:sz w:val="16"/>
          <w:szCs w:val="16"/>
        </w:rPr>
        <w:t>Jeżeli przewodniczący, zarządzając przerwę, oznaczy jednocześnie czas i miejsce dalszego ciągu rozprawy, osoby obecne na rozprawie przerwanej, których obecność była obowiązkowa, są obowiązane stawić się w nowym terminie bez wezwania. Przepis art. 285 stosuje się odpowiednio. Osoby uprawnione do stawiennictwa nie muszą być zawiadamiane o nowym terminie, nawet jeśli nie uczestniczyły w rozprawie przerwanej (art. 402 § 1).</w:t>
      </w:r>
    </w:p>
    <w:p w:rsidR="0096237B" w:rsidRPr="00F6125C" w:rsidRDefault="0096237B" w:rsidP="000654EA">
      <w:pPr>
        <w:autoSpaceDE w:val="0"/>
        <w:autoSpaceDN w:val="0"/>
        <w:adjustRightInd w:val="0"/>
        <w:jc w:val="both"/>
        <w:rPr>
          <w:rFonts w:eastAsia="Arial Unicode MS"/>
          <w:sz w:val="16"/>
          <w:szCs w:val="16"/>
        </w:rPr>
      </w:pPr>
    </w:p>
    <w:p w:rsidR="0096237B" w:rsidRPr="00F6125C" w:rsidRDefault="0096237B" w:rsidP="0096237B">
      <w:pPr>
        <w:rPr>
          <w:sz w:val="16"/>
          <w:szCs w:val="16"/>
        </w:rPr>
      </w:pPr>
      <w:r w:rsidRPr="00F6125C">
        <w:rPr>
          <w:sz w:val="16"/>
          <w:szCs w:val="16"/>
        </w:rPr>
        <w:t>Sąd ustala tożsamość osoby wezwanej lub zawiadomionej na podstawie dowodu osobistego lub innego dokumentu stwierdzającego tożsamość.</w:t>
      </w:r>
    </w:p>
    <w:p w:rsidR="00047375" w:rsidRPr="001F4DBD" w:rsidRDefault="00047375" w:rsidP="000654EA">
      <w:pPr>
        <w:pStyle w:val="Pouczenietre"/>
        <w:rPr>
          <w:sz w:val="24"/>
          <w:szCs w:val="24"/>
        </w:rPr>
      </w:pPr>
    </w:p>
    <w:sectPr w:rsidR="00047375" w:rsidRPr="001F4DBD" w:rsidSect="001F4DBD">
      <w:headerReference w:type="default" r:id="rId7"/>
      <w:footerReference w:type="default" r:id="rId8"/>
      <w:footnotePr>
        <w:pos w:val="beneathText"/>
      </w:footnotePr>
      <w:pgSz w:w="11907" w:h="16840" w:code="9"/>
      <w:pgMar w:top="567" w:right="1134" w:bottom="0" w:left="1134" w:header="0" w:footer="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FB8" w:rsidRDefault="00DE6FB8">
      <w:r>
        <w:separator/>
      </w:r>
    </w:p>
  </w:endnote>
  <w:endnote w:type="continuationSeparator" w:id="0">
    <w:p w:rsidR="00DE6FB8" w:rsidRDefault="00DE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rCode3of9">
    <w:panose1 w:val="00000000000000000000"/>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AC" w:rsidRDefault="00B27CAC">
    <w:pPr>
      <w:tabs>
        <w:tab w:val="left" w:pos="3600"/>
        <w:tab w:val="right" w:pos="7200"/>
      </w:tabs>
      <w:spacing w:before="60"/>
      <w:rPr>
        <w:i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FB8" w:rsidRDefault="00DE6FB8">
      <w:r>
        <w:separator/>
      </w:r>
    </w:p>
  </w:footnote>
  <w:footnote w:type="continuationSeparator" w:id="0">
    <w:p w:rsidR="00DE6FB8" w:rsidRDefault="00DE6FB8">
      <w:r>
        <w:continuationSeparator/>
      </w:r>
    </w:p>
  </w:footnote>
  <w:footnote w:id="1">
    <w:p w:rsidR="000654EA" w:rsidRDefault="000654EA" w:rsidP="000654EA">
      <w:pPr>
        <w:autoSpaceDE w:val="0"/>
        <w:autoSpaceDN w:val="0"/>
        <w:adjustRightInd w:val="0"/>
        <w:ind w:left="142" w:hanging="142"/>
        <w:jc w:val="both"/>
        <w:rPr>
          <w:rFonts w:ascii="TimesNewRoman" w:hAnsi="TimesNewRoman" w:cs="TimesNewRoman" w:hint="eastAsia"/>
          <w:sz w:val="16"/>
          <w:szCs w:val="16"/>
        </w:rPr>
      </w:pPr>
      <w:r>
        <w:rPr>
          <w:rStyle w:val="Odwoanieprzypisudolnego"/>
        </w:rPr>
        <w:footnoteRef/>
      </w:r>
      <w:r>
        <w:t xml:space="preserve"> </w:t>
      </w:r>
      <w:r>
        <w:rPr>
          <w:rFonts w:ascii="TimesNewRoman" w:hAnsi="TimesNewRoman" w:cs="TimesNewRoman"/>
          <w:sz w:val="16"/>
          <w:szCs w:val="16"/>
        </w:rPr>
        <w:t xml:space="preserve">Jeżeli nie wskazano innej podstawy prawnej, przepisy w nawiasach oznaczają odpowiednie artykuły ustawy z dnia 6 czerwca 1997 r. – Kodeks postępowania karnego (Dz. U. Nr 89, poz. 555, z </w:t>
      </w:r>
      <w:proofErr w:type="spellStart"/>
      <w:r>
        <w:rPr>
          <w:rFonts w:ascii="TimesNewRoman" w:hAnsi="TimesNewRoman" w:cs="TimesNewRoman"/>
          <w:sz w:val="16"/>
          <w:szCs w:val="16"/>
        </w:rPr>
        <w:t>późn</w:t>
      </w:r>
      <w:proofErr w:type="spellEnd"/>
      <w:r>
        <w:rPr>
          <w:rFonts w:ascii="TimesNewRoman" w:hAnsi="TimesNewRoman" w:cs="TimesNewRoman"/>
          <w:sz w:val="16"/>
          <w:szCs w:val="16"/>
        </w:rPr>
        <w:t>. zm.).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AC" w:rsidRDefault="00B27CAC">
    <w:pPr>
      <w:pStyle w:val="Nagwek"/>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F26880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024E17"/>
    <w:multiLevelType w:val="hybridMultilevel"/>
    <w:tmpl w:val="19F409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4A04AE9"/>
    <w:multiLevelType w:val="hybridMultilevel"/>
    <w:tmpl w:val="0748C778"/>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501425"/>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64AA1810"/>
    <w:multiLevelType w:val="hybridMultilevel"/>
    <w:tmpl w:val="B49082A8"/>
    <w:lvl w:ilvl="0" w:tplc="0415000F">
      <w:start w:val="1"/>
      <w:numFmt w:val="decimal"/>
      <w:lvlText w:val="%1."/>
      <w:lvlJc w:val="left"/>
      <w:pPr>
        <w:tabs>
          <w:tab w:val="num" w:pos="540"/>
        </w:tabs>
        <w:ind w:left="540" w:hanging="360"/>
      </w:pPr>
    </w:lvl>
    <w:lvl w:ilvl="1" w:tplc="04150019">
      <w:start w:val="1"/>
      <w:numFmt w:val="lowerLetter"/>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B7"/>
    <w:rsid w:val="00026BE1"/>
    <w:rsid w:val="00047375"/>
    <w:rsid w:val="000654EA"/>
    <w:rsid w:val="00082872"/>
    <w:rsid w:val="000B1826"/>
    <w:rsid w:val="00156A50"/>
    <w:rsid w:val="00167655"/>
    <w:rsid w:val="001F4DBD"/>
    <w:rsid w:val="0027554A"/>
    <w:rsid w:val="002A3C87"/>
    <w:rsid w:val="002D29BB"/>
    <w:rsid w:val="003071A6"/>
    <w:rsid w:val="00481E05"/>
    <w:rsid w:val="004E2EE6"/>
    <w:rsid w:val="004F6B32"/>
    <w:rsid w:val="00521DF1"/>
    <w:rsid w:val="00543A25"/>
    <w:rsid w:val="005608AF"/>
    <w:rsid w:val="0056581B"/>
    <w:rsid w:val="005D6748"/>
    <w:rsid w:val="005E03DD"/>
    <w:rsid w:val="00654857"/>
    <w:rsid w:val="00673927"/>
    <w:rsid w:val="0068719E"/>
    <w:rsid w:val="006D0FF8"/>
    <w:rsid w:val="006F4F48"/>
    <w:rsid w:val="00785756"/>
    <w:rsid w:val="007F2413"/>
    <w:rsid w:val="00891C92"/>
    <w:rsid w:val="008A145A"/>
    <w:rsid w:val="008E52B7"/>
    <w:rsid w:val="008F32FF"/>
    <w:rsid w:val="00947339"/>
    <w:rsid w:val="0096237B"/>
    <w:rsid w:val="00977535"/>
    <w:rsid w:val="00984206"/>
    <w:rsid w:val="009C7201"/>
    <w:rsid w:val="00A300C0"/>
    <w:rsid w:val="00A53CFC"/>
    <w:rsid w:val="00AA735C"/>
    <w:rsid w:val="00B12F04"/>
    <w:rsid w:val="00B27CAC"/>
    <w:rsid w:val="00B449E8"/>
    <w:rsid w:val="00B62C60"/>
    <w:rsid w:val="00B71BC6"/>
    <w:rsid w:val="00BA4134"/>
    <w:rsid w:val="00C1346F"/>
    <w:rsid w:val="00C31D4A"/>
    <w:rsid w:val="00C71C5A"/>
    <w:rsid w:val="00C91E06"/>
    <w:rsid w:val="00CD6619"/>
    <w:rsid w:val="00CE2926"/>
    <w:rsid w:val="00D07EEB"/>
    <w:rsid w:val="00DE6FB8"/>
    <w:rsid w:val="00E0783E"/>
    <w:rsid w:val="00E55D89"/>
    <w:rsid w:val="00EB2B80"/>
    <w:rsid w:val="00EC6124"/>
    <w:rsid w:val="00EF6B4B"/>
    <w:rsid w:val="00F02B21"/>
    <w:rsid w:val="00F46F3C"/>
    <w:rsid w:val="00F6125C"/>
    <w:rsid w:val="00F65417"/>
    <w:rsid w:val="00FA08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203D5C"/>
  <w15:chartTrackingRefBased/>
  <w15:docId w15:val="{26453036-C8EF-4E71-B238-255AF138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18"/>
    </w:rPr>
  </w:style>
  <w:style w:type="paragraph" w:styleId="Nagwek1">
    <w:name w:val="heading 1"/>
    <w:basedOn w:val="Normalny"/>
    <w:next w:val="Normalny"/>
    <w:qFormat/>
    <w:pPr>
      <w:keepNext/>
      <w:spacing w:line="360" w:lineRule="auto"/>
      <w:jc w:val="center"/>
      <w:outlineLvl w:val="0"/>
    </w:pPr>
    <w:rPr>
      <w:b/>
      <w:sz w:val="24"/>
      <w:szCs w:val="24"/>
    </w:rPr>
  </w:style>
  <w:style w:type="paragraph" w:styleId="Nagwek2">
    <w:name w:val="heading 2"/>
    <w:basedOn w:val="Normalny"/>
    <w:next w:val="Normalny"/>
    <w:qFormat/>
    <w:pPr>
      <w:keepNext/>
      <w:tabs>
        <w:tab w:val="left" w:pos="3780"/>
      </w:tabs>
      <w:spacing w:line="360" w:lineRule="auto"/>
      <w:outlineLvl w:val="1"/>
    </w:pPr>
    <w:rPr>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i/>
      <w:sz w:val="16"/>
    </w:rPr>
  </w:style>
  <w:style w:type="character" w:customStyle="1" w:styleId="SygnaturaKod">
    <w:name w:val="Sygnatura Kod"/>
    <w:rPr>
      <w:rFonts w:ascii="BarCode3of9" w:hAnsi="BarCode3of9"/>
      <w:sz w:val="32"/>
    </w:rPr>
  </w:style>
  <w:style w:type="character" w:styleId="Odwoaniedokomentarza">
    <w:name w:val="annotation reference"/>
    <w:semiHidden/>
    <w:rPr>
      <w:sz w:val="16"/>
      <w:szCs w:val="16"/>
    </w:rPr>
  </w:style>
  <w:style w:type="character" w:customStyle="1" w:styleId="oznaczeniepracownika">
    <w:name w:val="oznaczenie pracownika"/>
    <w:rPr>
      <w:rFonts w:ascii="Times New Roman" w:hAnsi="Times New Roman"/>
      <w:b/>
    </w:rPr>
  </w:style>
  <w:style w:type="paragraph" w:customStyle="1" w:styleId="Podpowied">
    <w:name w:val="Podpowiedź"/>
    <w:basedOn w:val="Normalny"/>
    <w:pPr>
      <w:tabs>
        <w:tab w:val="center" w:pos="7740"/>
      </w:tabs>
    </w:pPr>
    <w:rPr>
      <w:sz w:val="16"/>
      <w:szCs w:val="14"/>
    </w:rPr>
  </w:style>
  <w:style w:type="paragraph" w:customStyle="1" w:styleId="Adresat">
    <w:name w:val="Adresat"/>
    <w:basedOn w:val="Normalny"/>
    <w:pPr>
      <w:ind w:left="5400" w:hanging="2"/>
    </w:pPr>
    <w:rPr>
      <w:sz w:val="26"/>
    </w:rPr>
  </w:style>
  <w:style w:type="paragraph" w:styleId="Tytu">
    <w:name w:val="Title"/>
    <w:basedOn w:val="Normalny"/>
    <w:next w:val="Podtytu"/>
    <w:qFormat/>
    <w:pPr>
      <w:spacing w:before="600" w:after="120"/>
      <w:jc w:val="center"/>
      <w:outlineLvl w:val="0"/>
    </w:pPr>
    <w:rPr>
      <w:rFonts w:cs="Arial"/>
      <w:b/>
      <w:bCs/>
      <w:kern w:val="28"/>
      <w:sz w:val="32"/>
      <w:szCs w:val="32"/>
    </w:rPr>
  </w:style>
  <w:style w:type="paragraph" w:styleId="Podtytu">
    <w:name w:val="Subtitle"/>
    <w:basedOn w:val="Normalny"/>
    <w:next w:val="Tre"/>
    <w:qFormat/>
    <w:pPr>
      <w:spacing w:after="600"/>
      <w:jc w:val="center"/>
      <w:outlineLvl w:val="1"/>
    </w:pPr>
    <w:rPr>
      <w:rFonts w:cs="Arial"/>
      <w:b/>
      <w:sz w:val="28"/>
      <w:szCs w:val="24"/>
    </w:rPr>
  </w:style>
  <w:style w:type="paragraph" w:customStyle="1" w:styleId="Tre">
    <w:name w:val="Treść"/>
    <w:basedOn w:val="Normalny"/>
    <w:pPr>
      <w:spacing w:line="360" w:lineRule="auto"/>
      <w:jc w:val="both"/>
      <w:outlineLvl w:val="0"/>
    </w:pPr>
    <w:rPr>
      <w:sz w:val="24"/>
      <w:szCs w:val="18"/>
    </w:rPr>
  </w:style>
  <w:style w:type="paragraph" w:customStyle="1" w:styleId="Pouczenienagwek">
    <w:name w:val="Pouczenie nagłówek"/>
    <w:basedOn w:val="Podtytu"/>
    <w:rPr>
      <w:caps/>
      <w:spacing w:val="80"/>
      <w:szCs w:val="22"/>
    </w:rPr>
  </w:style>
  <w:style w:type="character" w:customStyle="1" w:styleId="PodpowiedZnak">
    <w:name w:val="Podpowiedź Znak"/>
    <w:rPr>
      <w:sz w:val="14"/>
      <w:szCs w:val="14"/>
      <w:lang w:val="pl-PL" w:eastAsia="pl-PL" w:bidi="ar-SA"/>
    </w:rPr>
  </w:style>
  <w:style w:type="paragraph" w:customStyle="1" w:styleId="Sygnaturapowizana">
    <w:name w:val="Sygnatura powiązana"/>
    <w:basedOn w:val="Termin"/>
    <w:pPr>
      <w:tabs>
        <w:tab w:val="clear" w:pos="1622"/>
      </w:tabs>
      <w:spacing w:before="480"/>
    </w:pPr>
  </w:style>
  <w:style w:type="paragraph" w:customStyle="1" w:styleId="Piecz">
    <w:name w:val="Pieczęć"/>
    <w:basedOn w:val="Normalny"/>
    <w:pPr>
      <w:spacing w:before="20" w:after="20"/>
      <w:jc w:val="center"/>
    </w:pPr>
    <w:rPr>
      <w:rFonts w:ascii="Arial" w:hAnsi="Arial"/>
      <w:b/>
      <w:sz w:val="20"/>
      <w:szCs w:val="18"/>
    </w:rPr>
  </w:style>
  <w:style w:type="character" w:customStyle="1" w:styleId="PieczZnak">
    <w:name w:val="Pieczęć Znak"/>
    <w:rPr>
      <w:rFonts w:ascii="Arial" w:hAnsi="Arial"/>
      <w:b/>
      <w:sz w:val="16"/>
      <w:szCs w:val="18"/>
      <w:lang w:val="pl-PL" w:eastAsia="pl-PL" w:bidi="ar-SA"/>
    </w:rPr>
  </w:style>
  <w:style w:type="paragraph" w:customStyle="1" w:styleId="Pieczmaa">
    <w:name w:val="Pieczęć mała"/>
    <w:basedOn w:val="Piecz"/>
    <w:rPr>
      <w:b w:val="0"/>
      <w:sz w:val="18"/>
    </w:rPr>
  </w:style>
  <w:style w:type="paragraph" w:customStyle="1" w:styleId="Sygnatura">
    <w:name w:val="Sygnatura"/>
    <w:basedOn w:val="Normalny"/>
    <w:next w:val="Podpowiedzsygnatura"/>
    <w:pPr>
      <w:tabs>
        <w:tab w:val="center" w:pos="1985"/>
      </w:tabs>
      <w:spacing w:before="360" w:after="40"/>
    </w:pPr>
    <w:rPr>
      <w:sz w:val="28"/>
      <w:szCs w:val="24"/>
    </w:rPr>
  </w:style>
  <w:style w:type="paragraph" w:customStyle="1" w:styleId="Pouczenietre">
    <w:name w:val="Pouczenie treść"/>
    <w:basedOn w:val="Normalny"/>
    <w:pPr>
      <w:spacing w:after="120"/>
      <w:jc w:val="both"/>
    </w:pPr>
    <w:rPr>
      <w:sz w:val="22"/>
      <w:szCs w:val="16"/>
    </w:rPr>
  </w:style>
  <w:style w:type="paragraph" w:customStyle="1" w:styleId="Podpowiedstanowisko">
    <w:name w:val="Podpowiedź stanowisko"/>
    <w:basedOn w:val="Podpowied"/>
    <w:next w:val="Podpowied"/>
    <w:pPr>
      <w:spacing w:after="480"/>
    </w:pPr>
    <w:rPr>
      <w:b/>
      <w:sz w:val="20"/>
    </w:rPr>
  </w:style>
  <w:style w:type="paragraph" w:customStyle="1" w:styleId="Nagowekdata">
    <w:name w:val="Nagłowek data"/>
    <w:basedOn w:val="Normalny"/>
    <w:pPr>
      <w:jc w:val="right"/>
    </w:pPr>
    <w:rPr>
      <w:sz w:val="24"/>
      <w:szCs w:val="18"/>
    </w:rPr>
  </w:style>
  <w:style w:type="paragraph" w:customStyle="1" w:styleId="Podpowiedzsygnatura">
    <w:name w:val="Podpowiedz sygnatura"/>
    <w:basedOn w:val="Podpowied"/>
    <w:next w:val="Adresat"/>
    <w:pPr>
      <w:tabs>
        <w:tab w:val="clear" w:pos="7740"/>
        <w:tab w:val="center" w:pos="1985"/>
      </w:tabs>
      <w:spacing w:after="240"/>
    </w:pPr>
  </w:style>
  <w:style w:type="paragraph" w:customStyle="1" w:styleId="Termin">
    <w:name w:val="Termin"/>
    <w:basedOn w:val="Tre"/>
    <w:pPr>
      <w:tabs>
        <w:tab w:val="left" w:pos="1622"/>
      </w:tabs>
      <w:spacing w:line="240" w:lineRule="auto"/>
    </w:pPr>
    <w:rPr>
      <w:b/>
    </w:rPr>
  </w:style>
  <w:style w:type="paragraph" w:customStyle="1" w:styleId="Skadsdziowski">
    <w:name w:val="Skład sędziowski"/>
    <w:basedOn w:val="Tre"/>
    <w:pPr>
      <w:tabs>
        <w:tab w:val="right" w:pos="1800"/>
      </w:tabs>
      <w:ind w:left="2160" w:hanging="2160"/>
    </w:pPr>
  </w:style>
  <w:style w:type="character" w:styleId="Odwoanieprzypisudolnego">
    <w:name w:val="footnote reference"/>
    <w:uiPriority w:val="99"/>
    <w:unhideWhenUsed/>
    <w:rsid w:val="000654EA"/>
    <w:rPr>
      <w:vertAlign w:val="superscript"/>
    </w:rPr>
  </w:style>
  <w:style w:type="paragraph" w:styleId="Stopka">
    <w:name w:val="footer"/>
    <w:basedOn w:val="Normalny"/>
    <w:link w:val="StopkaZnak"/>
    <w:rsid w:val="000654EA"/>
    <w:pPr>
      <w:tabs>
        <w:tab w:val="center" w:pos="4536"/>
        <w:tab w:val="right" w:pos="9072"/>
      </w:tabs>
    </w:pPr>
  </w:style>
  <w:style w:type="character" w:customStyle="1" w:styleId="StopkaZnak">
    <w:name w:val="Stopka Znak"/>
    <w:link w:val="Stopka"/>
    <w:rsid w:val="000654EA"/>
    <w:rPr>
      <w:sz w:val="18"/>
    </w:rPr>
  </w:style>
  <w:style w:type="character" w:customStyle="1" w:styleId="txt-old1">
    <w:name w:val="txt-old1"/>
    <w:rsid w:val="00C71C5A"/>
    <w:rPr>
      <w:strike/>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94664">
      <w:bodyDiv w:val="1"/>
      <w:marLeft w:val="0"/>
      <w:marRight w:val="0"/>
      <w:marTop w:val="0"/>
      <w:marBottom w:val="0"/>
      <w:divBdr>
        <w:top w:val="none" w:sz="0" w:space="0" w:color="auto"/>
        <w:left w:val="none" w:sz="0" w:space="0" w:color="auto"/>
        <w:bottom w:val="none" w:sz="0" w:space="0" w:color="auto"/>
        <w:right w:val="none" w:sz="0" w:space="0" w:color="auto"/>
      </w:divBdr>
    </w:div>
    <w:div w:id="608850629">
      <w:bodyDiv w:val="1"/>
      <w:marLeft w:val="0"/>
      <w:marRight w:val="0"/>
      <w:marTop w:val="0"/>
      <w:marBottom w:val="0"/>
      <w:divBdr>
        <w:top w:val="none" w:sz="0" w:space="0" w:color="auto"/>
        <w:left w:val="none" w:sz="0" w:space="0" w:color="auto"/>
        <w:bottom w:val="none" w:sz="0" w:space="0" w:color="auto"/>
        <w:right w:val="none" w:sz="0" w:space="0" w:color="auto"/>
      </w:divBdr>
    </w:div>
    <w:div w:id="614990023">
      <w:bodyDiv w:val="1"/>
      <w:marLeft w:val="0"/>
      <w:marRight w:val="0"/>
      <w:marTop w:val="0"/>
      <w:marBottom w:val="0"/>
      <w:divBdr>
        <w:top w:val="none" w:sz="0" w:space="0" w:color="auto"/>
        <w:left w:val="none" w:sz="0" w:space="0" w:color="auto"/>
        <w:bottom w:val="none" w:sz="0" w:space="0" w:color="auto"/>
        <w:right w:val="none" w:sz="0" w:space="0" w:color="auto"/>
      </w:divBdr>
    </w:div>
    <w:div w:id="996614068">
      <w:bodyDiv w:val="1"/>
      <w:marLeft w:val="0"/>
      <w:marRight w:val="0"/>
      <w:marTop w:val="0"/>
      <w:marBottom w:val="0"/>
      <w:divBdr>
        <w:top w:val="none" w:sz="0" w:space="0" w:color="auto"/>
        <w:left w:val="none" w:sz="0" w:space="0" w:color="auto"/>
        <w:bottom w:val="none" w:sz="0" w:space="0" w:color="auto"/>
        <w:right w:val="none" w:sz="0" w:space="0" w:color="auto"/>
      </w:divBdr>
    </w:div>
    <w:div w:id="105928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laszczyk\AppData\Local\Temp\TEMP_Sedzia2\095115_Zawiadomienie%20pokrzywdzonego%20o%20rozprawie%20g&#322;&#243;wnej%20_%20posiedzeniu%20nakazowy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095115_Zawiadomienie pokrzywdzonego o rozprawie głównej _ posiedzeniu nakazowym</Template>
  <TotalTime>0</TotalTime>
  <Pages>1</Pages>
  <Words>1195</Words>
  <Characters>7173</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Formularz SIP</vt:lpstr>
    </vt:vector>
  </TitlesOfParts>
  <Manager>Krzysztof Habowski</Manager>
  <Company>ZETO "Świdnica"</Company>
  <LinksUpToDate>false</LinksUpToDate>
  <CharactersWithSpaces>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Formularz SIP</dc:title>
  <dc:subject/>
  <dc:creator>Cieplak Małgorzata</dc:creator>
  <cp:keywords/>
  <dc:description/>
  <cp:lastModifiedBy>Cieplak Małgorzata</cp:lastModifiedBy>
  <cp:revision>2</cp:revision>
  <cp:lastPrinted>2003-05-27T06:40:00Z</cp:lastPrinted>
  <dcterms:created xsi:type="dcterms:W3CDTF">2020-12-23T08:51:00Z</dcterms:created>
  <dcterms:modified xsi:type="dcterms:W3CDTF">2020-12-23T08:51:00Z</dcterms:modified>
</cp:coreProperties>
</file>